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7B" w:rsidRPr="000069CB" w:rsidRDefault="00FA467B" w:rsidP="00FA467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24"/>
          <w:szCs w:val="24"/>
        </w:rPr>
        <w:t>DANH MỤC</w:t>
      </w:r>
    </w:p>
    <w:p w:rsidR="00FA467B" w:rsidRPr="000069CB" w:rsidRDefault="00FA467B" w:rsidP="00FA467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CÁC ĐỀ ÁN THÀNH PHẦN</w:t>
      </w:r>
      <w:r w:rsidRPr="000069CB">
        <w:rPr>
          <w:rFonts w:ascii="Arial" w:eastAsia="Times New Roman" w:hAnsi="Arial" w:cs="Arial"/>
          <w:color w:val="000000"/>
          <w:sz w:val="18"/>
          <w:szCs w:val="18"/>
        </w:rPr>
        <w:br/>
      </w:r>
      <w:r w:rsidRPr="000069CB">
        <w:rPr>
          <w:rFonts w:ascii="Arial" w:eastAsia="Times New Roman" w:hAnsi="Arial" w:cs="Arial"/>
          <w:i/>
          <w:iCs/>
          <w:color w:val="000000"/>
          <w:sz w:val="18"/>
          <w:szCs w:val="18"/>
        </w:rPr>
        <w:t>(Ban hành kèm theo Quyết định số 89/QĐ-TTg ngày 09 tháng 01 năm 2013 của Thủ tướng Chính phủ)</w:t>
      </w:r>
    </w:p>
    <w:tbl>
      <w:tblPr>
        <w:tblW w:w="8700" w:type="dxa"/>
        <w:tblCellSpacing w:w="0" w:type="dxa"/>
        <w:shd w:val="clear" w:color="auto" w:fill="FFFFFF"/>
        <w:tblCellMar>
          <w:left w:w="0" w:type="dxa"/>
          <w:right w:w="0" w:type="dxa"/>
        </w:tblCellMar>
        <w:tblLook w:val="04A0"/>
      </w:tblPr>
      <w:tblGrid>
        <w:gridCol w:w="437"/>
        <w:gridCol w:w="943"/>
        <w:gridCol w:w="3983"/>
        <w:gridCol w:w="729"/>
        <w:gridCol w:w="729"/>
        <w:gridCol w:w="1879"/>
      </w:tblGrid>
      <w:tr w:rsidR="00FA467B" w:rsidRPr="000069CB" w:rsidTr="0010778C">
        <w:trPr>
          <w:tblCellSpacing w:w="0" w:type="dxa"/>
        </w:trPr>
        <w:tc>
          <w:tcPr>
            <w:tcW w:w="43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STT</w:t>
            </w:r>
          </w:p>
        </w:tc>
        <w:tc>
          <w:tcPr>
            <w:tcW w:w="943"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Tên các Đề án thành phần</w:t>
            </w:r>
          </w:p>
        </w:tc>
        <w:tc>
          <w:tcPr>
            <w:tcW w:w="3984"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Nội dung chính</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Thời gian hoàn thành</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Đơn vị chủ trì</w:t>
            </w:r>
          </w:p>
        </w:tc>
        <w:tc>
          <w:tcPr>
            <w:tcW w:w="1879"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Đơn vị phối hợp</w:t>
            </w:r>
          </w:p>
        </w:tc>
      </w:tr>
      <w:tr w:rsidR="00FA467B" w:rsidRPr="000069CB" w:rsidTr="0010778C">
        <w:trPr>
          <w:tblCellSpacing w:w="0" w:type="dxa"/>
        </w:trPr>
        <w:tc>
          <w:tcPr>
            <w:tcW w:w="43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1</w:t>
            </w:r>
          </w:p>
        </w:tc>
        <w:tc>
          <w:tcPr>
            <w:tcW w:w="943"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Xóa mù chữ giai đoạn 2012 - 2020</w:t>
            </w:r>
          </w:p>
        </w:tc>
        <w:tc>
          <w:tcPr>
            <w:tcW w:w="3984"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Đề xuất các giải pháp nhằm nâng cao tỷ lệ biết chữ trong độ tuổi 15 - 60. Tập trung vào 14 tỉnh có tỷ lệ người biết chữ thấp; ưu tiên xóa mù chữ cho nguời dân tộc thiểu số, phụ nữ, trẻ em gái và những người có hoàn cảnh khó khăn.</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3/2013</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Giáo dục và Đào tạo</w:t>
            </w:r>
          </w:p>
        </w:tc>
        <w:tc>
          <w:tcPr>
            <w:tcW w:w="1879"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Quốc phòng (Bộ Tư lệnh Bộ đội biên phòng); Hội Khuyến học Việt Nam; Hội Cựu giáo chức Việt Nam; Hội Liên hiệp Phụ nữ Việt Nam</w:t>
            </w:r>
          </w:p>
        </w:tc>
      </w:tr>
      <w:tr w:rsidR="00FA467B" w:rsidRPr="000069CB" w:rsidTr="0010778C">
        <w:trPr>
          <w:tblCellSpacing w:w="0" w:type="dxa"/>
        </w:trPr>
        <w:tc>
          <w:tcPr>
            <w:tcW w:w="438"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2</w:t>
            </w:r>
          </w:p>
        </w:tc>
        <w:tc>
          <w:tcPr>
            <w:tcW w:w="943"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Truyền thông về xây dựng xã hội học tập</w:t>
            </w:r>
          </w:p>
        </w:tc>
        <w:tc>
          <w:tcPr>
            <w:tcW w:w="3984" w:type="dxa"/>
            <w:tcBorders>
              <w:top w:val="single" w:sz="8" w:space="0" w:color="auto"/>
              <w:left w:val="single" w:sz="8" w:space="0" w:color="auto"/>
              <w:bottom w:val="nil"/>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Tổ chức các hoạt động tuyên truyền phong phú, đa dạng nhằm nâng cao nhận thức của các tầng lớp nhân dân về mục đích, ý nghĩa, vai trò và lợi ích của học tập suốt đời, xây dựng xã hội học tập; tổ chức xây dựng các chuyên mục giáo dục trên các phương tiện thông tin đại chúng nhằm cung ứng các chương trình học tập suốt đời.</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9/2013</w:t>
            </w:r>
          </w:p>
        </w:tc>
        <w:tc>
          <w:tcPr>
            <w:tcW w:w="729" w:type="dxa"/>
            <w:tcBorders>
              <w:top w:val="single" w:sz="8" w:space="0" w:color="auto"/>
              <w:left w:val="single" w:sz="8" w:space="0" w:color="auto"/>
              <w:bottom w:val="nil"/>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Thông tin và Truyền thông</w:t>
            </w:r>
          </w:p>
        </w:tc>
        <w:tc>
          <w:tcPr>
            <w:tcW w:w="1879" w:type="dxa"/>
            <w:tcBorders>
              <w:top w:val="single" w:sz="8" w:space="0" w:color="auto"/>
              <w:left w:val="single" w:sz="8" w:space="0" w:color="auto"/>
              <w:bottom w:val="nil"/>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Đài Tiếng nói Việt Nam; Đài Truyền hình Việt Nam; Thông tấn xã Việt Nam</w:t>
            </w:r>
          </w:p>
        </w:tc>
      </w:tr>
      <w:tr w:rsidR="00FA467B" w:rsidRPr="000069CB" w:rsidTr="0010778C">
        <w:trPr>
          <w:tblCellSpacing w:w="0" w:type="dxa"/>
        </w:trPr>
        <w:tc>
          <w:tcPr>
            <w:tcW w:w="438"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3</w:t>
            </w:r>
          </w:p>
        </w:tc>
        <w:tc>
          <w:tcPr>
            <w:tcW w:w="943"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Phát triển đào tạo từ xa</w:t>
            </w:r>
          </w:p>
        </w:tc>
        <w:tc>
          <w:tcPr>
            <w:tcW w:w="3984"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Đẩy mạnh các hoạt động đào tạo từ xa ở các cơ sở giáo dục, đặc biệt là các cơ sở giáo dục đại học; tăng cường xây dựng cơ sở vật chất và hạ tầng công nghệ thông tin phục vụ cho đào tạo từ xa, đào tạo trực tuyến (E-learning); tăng cường ứng dụng công nghệ thông tin và truyền thông trong việc cung ứng các chương trình học tập suốt đời; tập trung củng cố cơ sở vật chất, hoàn thiện chức năng nhiệm vụ của Viện Đại học Mở Hà Nội và trường Đại học Mở thành phố Hồ Chí Minh để trở thành trung tâm dẫn đầu về nghiên cứu phát triển công nghệ đào tạo mở và từ xa, trung tâm phát triển học liệu, trung tâm bồi dưỡng cán bộ, giáo viên phục vụ học tập suốt đời.</w:t>
            </w:r>
          </w:p>
        </w:tc>
        <w:tc>
          <w:tcPr>
            <w:tcW w:w="72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9/2013</w:t>
            </w:r>
          </w:p>
        </w:tc>
        <w:tc>
          <w:tcPr>
            <w:tcW w:w="729" w:type="dxa"/>
            <w:tcBorders>
              <w:top w:val="single" w:sz="8" w:space="0" w:color="auto"/>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Giáo dục và Đào tạo</w:t>
            </w:r>
          </w:p>
        </w:tc>
        <w:tc>
          <w:tcPr>
            <w:tcW w:w="1879"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Lao động - Thương binh và Xã hội; Bộ Thông tin và Truyền thông</w:t>
            </w:r>
          </w:p>
        </w:tc>
      </w:tr>
      <w:tr w:rsidR="00FA467B" w:rsidRPr="000069CB" w:rsidTr="0010778C">
        <w:trPr>
          <w:tblCellSpacing w:w="0" w:type="dxa"/>
        </w:trPr>
        <w:tc>
          <w:tcPr>
            <w:tcW w:w="438"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4</w:t>
            </w:r>
          </w:p>
        </w:tc>
        <w:tc>
          <w:tcPr>
            <w:tcW w:w="943"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Đẩy mạnh các hoạt động học tập suốt đời trong các thư viện, bảo tàng, nhà văn hóa, câu lạc bộ</w:t>
            </w:r>
          </w:p>
        </w:tc>
        <w:tc>
          <w:tcPr>
            <w:tcW w:w="3984"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Xây dựng cơ chế chỉ đạo liên ngành về giáo dục thông qua di sản văn hóa; củng cố, kiện toàn cơ sở vật chất, đội ngũ cán bộ, hướng dẫn viên để các nhà trường như thư viện, bảo tàng, nhà văn hóa ... tham gia tích cực vào việc cung ứng các chương trình học tập suốt đời.</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9/2013</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Văn hóa, Thể thao và Du lịch</w:t>
            </w:r>
          </w:p>
        </w:tc>
        <w:tc>
          <w:tcPr>
            <w:tcW w:w="1879"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Giáo dục và Đào tạo</w:t>
            </w:r>
          </w:p>
        </w:tc>
      </w:tr>
      <w:tr w:rsidR="00FA467B" w:rsidRPr="000069CB" w:rsidTr="0010778C">
        <w:trPr>
          <w:tblCellSpacing w:w="0" w:type="dxa"/>
        </w:trPr>
        <w:tc>
          <w:tcPr>
            <w:tcW w:w="438"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5</w:t>
            </w:r>
          </w:p>
        </w:tc>
        <w:tc>
          <w:tcPr>
            <w:tcW w:w="943"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 xml:space="preserve">Đề án Hỗ trợ cho người lao </w:t>
            </w:r>
            <w:r w:rsidRPr="000069CB">
              <w:rPr>
                <w:rFonts w:ascii="Arial" w:eastAsia="Times New Roman" w:hAnsi="Arial" w:cs="Arial"/>
                <w:color w:val="000000"/>
                <w:sz w:val="18"/>
                <w:szCs w:val="18"/>
              </w:rPr>
              <w:lastRenderedPageBreak/>
              <w:t>động nông thôn, những người hết tuổi lao động, người nội trợ, người khuyết tật có điều kiện thuận lợi để học tập suốt đời</w:t>
            </w:r>
          </w:p>
        </w:tc>
        <w:tc>
          <w:tcPr>
            <w:tcW w:w="3984"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xml:space="preserve">Xây dựng cơ chế liên ngành để cung cấp tài liệu học tập; xây thôn được thường xuyên học tập, cập nhập thông tin trên các lĩnh vực của đời </w:t>
            </w:r>
            <w:r w:rsidRPr="000069CB">
              <w:rPr>
                <w:rFonts w:ascii="Arial" w:eastAsia="Times New Roman" w:hAnsi="Arial" w:cs="Arial"/>
                <w:color w:val="000000"/>
                <w:sz w:val="18"/>
                <w:szCs w:val="18"/>
              </w:rPr>
              <w:lastRenderedPageBreak/>
              <w:t>sống và xã hội, chính trị, pháp luật, văn hóa, chăm sóc sức khỏe, kỹ thuật chăn nuôi trồng trọt, kinh tế gia đình ... tại các trung tâm học tập cộng đồng.</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Tháng 9/2013</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 xml:space="preserve">Bộ Lao động - Thương </w:t>
            </w:r>
            <w:r w:rsidRPr="000069CB">
              <w:rPr>
                <w:rFonts w:ascii="Arial" w:eastAsia="Times New Roman" w:hAnsi="Arial" w:cs="Arial"/>
                <w:color w:val="000000"/>
                <w:sz w:val="18"/>
                <w:szCs w:val="18"/>
              </w:rPr>
              <w:lastRenderedPageBreak/>
              <w:t>binh và Xã hội</w:t>
            </w:r>
          </w:p>
        </w:tc>
        <w:tc>
          <w:tcPr>
            <w:tcW w:w="1879"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xml:space="preserve">Bộ Nông nghiệp và Phát triển nông thôn; Bộ Văn hóa, Thể thao </w:t>
            </w:r>
            <w:r w:rsidRPr="000069CB">
              <w:rPr>
                <w:rFonts w:ascii="Arial" w:eastAsia="Times New Roman" w:hAnsi="Arial" w:cs="Arial"/>
                <w:color w:val="000000"/>
                <w:sz w:val="18"/>
                <w:szCs w:val="18"/>
              </w:rPr>
              <w:lastRenderedPageBreak/>
              <w:t>và Du lịch; Bộ Giáo dục và Đào tạo; Hội Người cao tuổi Việt Nam; Hội Nông dân Việt Nam</w:t>
            </w:r>
          </w:p>
        </w:tc>
      </w:tr>
      <w:tr w:rsidR="00FA467B" w:rsidRPr="000069CB" w:rsidTr="0010778C">
        <w:trPr>
          <w:tblCellSpacing w:w="0" w:type="dxa"/>
        </w:trPr>
        <w:tc>
          <w:tcPr>
            <w:tcW w:w="438"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6</w:t>
            </w:r>
          </w:p>
        </w:tc>
        <w:tc>
          <w:tcPr>
            <w:tcW w:w="943"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Đẩy mạnh các hoạt động học tập suốt đời cho công nhân lao động trong các doanh nghiệp</w:t>
            </w:r>
          </w:p>
        </w:tc>
        <w:tc>
          <w:tcPr>
            <w:tcW w:w="3984"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Tuyên truyền vận động công nhân lao động tham gia học tập suốt đời; tăng cường sự tham gia của các doanh nghiệp trong việc hỗ trợ người lao động học tập nâng cao trình độ chuyên môn nghề nghiệp hoặc đào tạo lại cho công nhân lao động chuyển đổi nghề nghiệp. Ưu tiên khu chế xuất, khu công nghiệp.</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9/2013</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Tổng Liên đoàn Lao động Việt Nam</w:t>
            </w:r>
          </w:p>
        </w:tc>
        <w:tc>
          <w:tcPr>
            <w:tcW w:w="1879"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Lao động - Thương binh và Xã hội; Bộ Công Thương; Phòng Thương mại và Công nghiệp Việt Nam</w:t>
            </w:r>
          </w:p>
        </w:tc>
      </w:tr>
      <w:tr w:rsidR="00FA467B" w:rsidRPr="000069CB" w:rsidTr="0010778C">
        <w:trPr>
          <w:tblCellSpacing w:w="0" w:type="dxa"/>
        </w:trPr>
        <w:tc>
          <w:tcPr>
            <w:tcW w:w="438"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7</w:t>
            </w:r>
          </w:p>
        </w:tc>
        <w:tc>
          <w:tcPr>
            <w:tcW w:w="943"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Đề án Đẩy mạnh phong trào học tập suốt đời trong gia đình, dòng họ, cộng đồng dân cư.</w:t>
            </w:r>
          </w:p>
        </w:tc>
        <w:tc>
          <w:tcPr>
            <w:tcW w:w="3984" w:type="dxa"/>
            <w:tcBorders>
              <w:top w:val="nil"/>
              <w:left w:val="single" w:sz="8" w:space="0" w:color="auto"/>
              <w:bottom w:val="single" w:sz="8" w:space="0" w:color="auto"/>
              <w:right w:val="nil"/>
            </w:tcBorders>
            <w:shd w:val="clear" w:color="auto" w:fill="FFFFFF"/>
            <w:tcMar>
              <w:top w:w="0" w:type="dxa"/>
              <w:left w:w="29" w:type="dxa"/>
              <w:bottom w:w="0" w:type="dxa"/>
              <w:right w:w="29" w:type="dxa"/>
            </w:tcMar>
            <w:hideMark/>
          </w:tcPr>
          <w:p w:rsidR="000069CB" w:rsidRPr="000069CB" w:rsidRDefault="00FA467B" w:rsidP="0010778C">
            <w:pPr>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Đẩy mạnh các hoạt động tuyên truyền, vận động người dân tích cực học tập suốt đời, xây dựng xã hội học tập; xây dựng các mô hình học tập phù hợp để thực hiện các mục tiêu của đề án mô hình “cá nhân học tập”; “gia đình học tập”; “dòng họ học tập”; “cộng đồng, khu dân cư học tập”; “tổ chức, cơ quan, doanh nghiệp học tập”.</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Tháng 9/2013</w:t>
            </w:r>
          </w:p>
        </w:tc>
        <w:tc>
          <w:tcPr>
            <w:tcW w:w="729" w:type="dxa"/>
            <w:tcBorders>
              <w:top w:val="nil"/>
              <w:left w:val="single" w:sz="8" w:space="0" w:color="auto"/>
              <w:bottom w:val="single" w:sz="8" w:space="0" w:color="auto"/>
              <w:right w:val="nil"/>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Hội Khuyến học Việt Nam</w:t>
            </w:r>
          </w:p>
        </w:tc>
        <w:tc>
          <w:tcPr>
            <w:tcW w:w="1879"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vAlign w:val="center"/>
            <w:hideMark/>
          </w:tcPr>
          <w:p w:rsidR="000069CB" w:rsidRPr="000069CB" w:rsidRDefault="00FA467B" w:rsidP="0010778C">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Bộ Giáo dục và Đào tạo; Bộ Văn hóa, Thể thao và Du lịch; Hội Cựu giáo chức Việt Nam; Hội người cao tuổi Việt Nam, Hội Phụ nữ Việt Nam</w:t>
            </w:r>
          </w:p>
        </w:tc>
      </w:tr>
    </w:tbl>
    <w:p w:rsidR="00FA467B" w:rsidRPr="000069CB" w:rsidRDefault="00FA467B" w:rsidP="00FA467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w:t>
      </w:r>
    </w:p>
    <w:p w:rsidR="00FA467B" w:rsidRDefault="00FA467B" w:rsidP="00FA467B"/>
    <w:p w:rsidR="00341E25" w:rsidRDefault="00341E25"/>
    <w:sectPr w:rsidR="00341E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A467B"/>
    <w:rsid w:val="00341E25"/>
    <w:rsid w:val="00FA4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cp:revision>
  <dcterms:created xsi:type="dcterms:W3CDTF">2016-01-26T08:18:00Z</dcterms:created>
  <dcterms:modified xsi:type="dcterms:W3CDTF">2016-01-26T08:19:00Z</dcterms:modified>
</cp:coreProperties>
</file>